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F24C" w14:textId="77777777" w:rsidR="00E85E19" w:rsidRDefault="00E85E19" w:rsidP="00045EE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D133DA8" w14:textId="1343E312" w:rsidR="005E1FD1" w:rsidRPr="00E85E19" w:rsidRDefault="005E1FD1" w:rsidP="00045EE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85E19">
        <w:rPr>
          <w:rFonts w:ascii="Times New Roman" w:hAnsi="Times New Roman" w:cs="Times New Roman"/>
          <w:b/>
          <w:bCs/>
          <w:sz w:val="20"/>
          <w:szCs w:val="20"/>
        </w:rPr>
        <w:t xml:space="preserve">Załącznik </w:t>
      </w:r>
      <w:r w:rsidR="00532EDB" w:rsidRPr="00E85E19">
        <w:rPr>
          <w:rFonts w:ascii="Times New Roman" w:hAnsi="Times New Roman" w:cs="Times New Roman"/>
          <w:b/>
          <w:bCs/>
          <w:sz w:val="20"/>
          <w:szCs w:val="20"/>
        </w:rPr>
        <w:t>nr 1</w:t>
      </w:r>
      <w:r w:rsidR="00494A83" w:rsidRPr="00E85E19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532EDB" w:rsidRPr="00E85E1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85E19">
        <w:rPr>
          <w:rFonts w:ascii="Times New Roman" w:hAnsi="Times New Roman" w:cs="Times New Roman"/>
          <w:b/>
          <w:bCs/>
          <w:sz w:val="20"/>
          <w:szCs w:val="20"/>
        </w:rPr>
        <w:t>do Regulaminu studió</w:t>
      </w:r>
      <w:r w:rsidR="00532EDB" w:rsidRPr="00E85E19">
        <w:rPr>
          <w:rFonts w:ascii="Times New Roman" w:hAnsi="Times New Roman" w:cs="Times New Roman"/>
          <w:b/>
          <w:bCs/>
          <w:sz w:val="20"/>
          <w:szCs w:val="20"/>
        </w:rPr>
        <w:t>w</w:t>
      </w:r>
    </w:p>
    <w:p w14:paraId="46313C9C" w14:textId="77777777" w:rsidR="005E1FD1" w:rsidRPr="006C51F7" w:rsidRDefault="005E1FD1" w:rsidP="005E1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1"/>
        <w:gridCol w:w="4730"/>
        <w:gridCol w:w="7903"/>
      </w:tblGrid>
      <w:tr w:rsidR="005E1FD1" w:rsidRPr="006C51F7" w14:paraId="72EE217C" w14:textId="77777777" w:rsidTr="00843ED1">
        <w:tc>
          <w:tcPr>
            <w:tcW w:w="1361" w:type="dxa"/>
          </w:tcPr>
          <w:p w14:paraId="69EEF9B2" w14:textId="77777777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>Identyfikator</w:t>
            </w:r>
          </w:p>
        </w:tc>
        <w:tc>
          <w:tcPr>
            <w:tcW w:w="4730" w:type="dxa"/>
          </w:tcPr>
          <w:p w14:paraId="0FEE1761" w14:textId="5E8925AC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Zakres </w:t>
            </w:r>
          </w:p>
        </w:tc>
        <w:tc>
          <w:tcPr>
            <w:tcW w:w="7903" w:type="dxa"/>
          </w:tcPr>
          <w:p w14:paraId="3C03A56D" w14:textId="3441AD12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Regulacj</w:t>
            </w:r>
            <w:r w:rsidR="005542FC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wydziałow</w:t>
            </w:r>
            <w:r w:rsidR="005542FC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</w:tr>
      <w:tr w:rsidR="005E1FD1" w:rsidRPr="006C51F7" w14:paraId="4C287F48" w14:textId="77777777" w:rsidTr="00843ED1">
        <w:tc>
          <w:tcPr>
            <w:tcW w:w="13994" w:type="dxa"/>
            <w:gridSpan w:val="3"/>
          </w:tcPr>
          <w:p w14:paraId="3487788D" w14:textId="33B00408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Wydział </w:t>
            </w:r>
            <w:r w:rsidR="00A14039">
              <w:rPr>
                <w:rFonts w:ascii="Times New Roman" w:hAnsi="Times New Roman" w:cs="Times New Roman"/>
                <w:b/>
                <w:sz w:val="20"/>
                <w:szCs w:val="20"/>
              </w:rPr>
              <w:t>Studiów Międzynarodowych i Politologicznych</w:t>
            </w:r>
          </w:p>
        </w:tc>
      </w:tr>
      <w:tr w:rsidR="005E1FD1" w:rsidRPr="006C51F7" w14:paraId="0656DB85" w14:textId="77777777" w:rsidTr="00843ED1">
        <w:tc>
          <w:tcPr>
            <w:tcW w:w="1361" w:type="dxa"/>
          </w:tcPr>
          <w:p w14:paraId="48A7C0A0" w14:textId="77777777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ust. 1 lit. b</w:t>
            </w:r>
          </w:p>
        </w:tc>
        <w:tc>
          <w:tcPr>
            <w:tcW w:w="4730" w:type="dxa"/>
          </w:tcPr>
          <w:p w14:paraId="6695A14D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Zasady realizacji obowiązku uczestniczenia przez studenta w poszczególnych rodzajach zajęć</w:t>
            </w:r>
          </w:p>
        </w:tc>
        <w:tc>
          <w:tcPr>
            <w:tcW w:w="7903" w:type="dxa"/>
          </w:tcPr>
          <w:p w14:paraId="0968FF47" w14:textId="14F92EDA" w:rsidR="005E1FD1" w:rsidRPr="0091141E" w:rsidRDefault="00E439BB" w:rsidP="00A77698">
            <w:pPr>
              <w:ind w:right="48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14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E9525E" w:rsidRPr="009114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czestnictwo przez studentów we wszystkich rodzajach zajęć realizowanych zgodnie z planami studiów na WSMiP UŁ jest</w:t>
            </w:r>
            <w:r w:rsidR="001A4FB7" w:rsidRPr="009114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9525E" w:rsidRPr="009114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obowi</w:t>
            </w:r>
            <w:r w:rsidRPr="009114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ązkowe.</w:t>
            </w:r>
          </w:p>
          <w:p w14:paraId="2BEA0000" w14:textId="73BA6A1A" w:rsidR="001A4FB7" w:rsidRPr="0091141E" w:rsidRDefault="001A4FB7" w:rsidP="00A77698">
            <w:pPr>
              <w:ind w:right="48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14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Szczegółowe zasady realizacji obowiązku, w tym sposoby uzupełniania braków wynikających z nieusprawiedliwionych oraz usprawiedliwionych nieobecności studentów na zajęciach określa koordynator przedmiotu, w ramach którego prowadzone są zajęcia.</w:t>
            </w:r>
          </w:p>
          <w:p w14:paraId="34C1B559" w14:textId="51856DA4" w:rsidR="001A4FB7" w:rsidRPr="0091141E" w:rsidRDefault="001A4FB7">
            <w:pPr>
              <w:ind w:right="48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14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Zasady</w:t>
            </w:r>
            <w:r w:rsidR="00E03395" w:rsidRPr="009114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te </w:t>
            </w:r>
            <w:r w:rsidRPr="009114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są częścią sylabusa przedmiotu i prezentowane są studentom na pierwszych zajęciach</w:t>
            </w:r>
            <w:r w:rsidR="003F22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E1FD1" w:rsidRPr="006C51F7" w14:paraId="2844C5FB" w14:textId="77777777" w:rsidTr="00843ED1">
        <w:tc>
          <w:tcPr>
            <w:tcW w:w="1361" w:type="dxa"/>
          </w:tcPr>
          <w:p w14:paraId="4D303C08" w14:textId="77777777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ust. 1 lit. c</w:t>
            </w:r>
          </w:p>
        </w:tc>
        <w:tc>
          <w:tcPr>
            <w:tcW w:w="4730" w:type="dxa"/>
          </w:tcPr>
          <w:p w14:paraId="4E7BDA05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Zakres i warunki prowadzenia w języku obcym zajęć dydaktycznych, sprawdzianów wiedzy lub umiejętności i egzaminów dyplomowych  oraz przygotowywania w języku obcym prac dyplomowych</w:t>
            </w:r>
          </w:p>
        </w:tc>
        <w:tc>
          <w:tcPr>
            <w:tcW w:w="7903" w:type="dxa"/>
          </w:tcPr>
          <w:p w14:paraId="0067C6DD" w14:textId="5FB11F6A" w:rsidR="002541DF" w:rsidRPr="006C51F7" w:rsidRDefault="002541DF" w:rsidP="0091141E">
            <w:pPr>
              <w:ind w:right="4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1DF">
              <w:rPr>
                <w:rFonts w:ascii="Times New Roman" w:hAnsi="Times New Roman" w:cs="Times New Roman"/>
                <w:sz w:val="20"/>
                <w:szCs w:val="20"/>
              </w:rPr>
              <w:t>Na kierunkach</w:t>
            </w:r>
            <w:r w:rsidR="00535EF6">
              <w:rPr>
                <w:rFonts w:ascii="Times New Roman" w:hAnsi="Times New Roman" w:cs="Times New Roman"/>
                <w:sz w:val="20"/>
                <w:szCs w:val="20"/>
              </w:rPr>
              <w:t xml:space="preserve"> polskojęzycznych </w:t>
            </w:r>
            <w:r w:rsidRPr="002541DF">
              <w:rPr>
                <w:rFonts w:ascii="Times New Roman" w:hAnsi="Times New Roman" w:cs="Times New Roman"/>
                <w:sz w:val="20"/>
                <w:szCs w:val="20"/>
              </w:rPr>
              <w:t xml:space="preserve"> możliwe jest napisanie pracy w języku obcym, co wymaga jednak uzyskania zgody Rady Wydziału w formie uchwały. Na kierunkach obcojęzycznych językiem pracy dyplomowej jest język właściwy dla danego kierunku studiów</w:t>
            </w:r>
            <w:r w:rsidR="00535E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5E1FD1" w:rsidRPr="006C51F7" w14:paraId="26719088" w14:textId="77777777" w:rsidTr="00843ED1">
        <w:tc>
          <w:tcPr>
            <w:tcW w:w="1361" w:type="dxa"/>
          </w:tcPr>
          <w:p w14:paraId="716C02C7" w14:textId="77777777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ust. 1 lit. d</w:t>
            </w:r>
          </w:p>
        </w:tc>
        <w:tc>
          <w:tcPr>
            <w:tcW w:w="4730" w:type="dxa"/>
          </w:tcPr>
          <w:p w14:paraId="57B3774A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Okres zaliczeniowy na kierunkach studiów prowadzonych w formie jednolitych studiów magisterskich lub na studiach niestacjonarnych jako semestr albo rok studiów,</w:t>
            </w:r>
          </w:p>
        </w:tc>
        <w:tc>
          <w:tcPr>
            <w:tcW w:w="7903" w:type="dxa"/>
          </w:tcPr>
          <w:p w14:paraId="1AF43A69" w14:textId="4C7F6BCF" w:rsidR="005E1FD1" w:rsidRPr="006C51F7" w:rsidRDefault="00FE4383" w:rsidP="009114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383">
              <w:rPr>
                <w:rFonts w:ascii="Times New Roman" w:hAnsi="Times New Roman" w:cs="Times New Roman"/>
                <w:sz w:val="20"/>
                <w:szCs w:val="20"/>
              </w:rPr>
              <w:t xml:space="preserve">Okresem zaliczeniowym na wszystkich kierunkach studiów na Wydziale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Studiów Międzynarodowych i Politologicznych </w:t>
            </w:r>
            <w:r w:rsidRPr="00FE4383">
              <w:rPr>
                <w:rFonts w:ascii="Times New Roman" w:hAnsi="Times New Roman" w:cs="Times New Roman"/>
                <w:sz w:val="20"/>
                <w:szCs w:val="20"/>
              </w:rPr>
              <w:t>UŁ jest semestr.</w:t>
            </w:r>
          </w:p>
        </w:tc>
      </w:tr>
      <w:tr w:rsidR="005E1FD1" w:rsidRPr="006C51F7" w14:paraId="408D84F0" w14:textId="77777777" w:rsidTr="00843ED1">
        <w:tc>
          <w:tcPr>
            <w:tcW w:w="1361" w:type="dxa"/>
          </w:tcPr>
          <w:p w14:paraId="6DC288B2" w14:textId="77777777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ust. 1 lit. e</w:t>
            </w:r>
          </w:p>
        </w:tc>
        <w:tc>
          <w:tcPr>
            <w:tcW w:w="4730" w:type="dxa"/>
          </w:tcPr>
          <w:p w14:paraId="5B0305F4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Dopuszczalność i warunki powtarzania pierwszego semestru lub roku studiów</w:t>
            </w:r>
          </w:p>
        </w:tc>
        <w:tc>
          <w:tcPr>
            <w:tcW w:w="7903" w:type="dxa"/>
          </w:tcPr>
          <w:p w14:paraId="1E08540F" w14:textId="6356BD1D" w:rsidR="005E1FD1" w:rsidRPr="006C51F7" w:rsidRDefault="00A77698" w:rsidP="00843ED1">
            <w:pPr>
              <w:ind w:right="477"/>
              <w:rPr>
                <w:rFonts w:ascii="Times New Roman" w:hAnsi="Times New Roman" w:cs="Times New Roman"/>
                <w:sz w:val="20"/>
                <w:szCs w:val="20"/>
              </w:rPr>
            </w:pPr>
            <w:r w:rsidRPr="00A77698">
              <w:rPr>
                <w:rFonts w:ascii="Times New Roman" w:hAnsi="Times New Roman" w:cs="Times New Roman"/>
                <w:sz w:val="20"/>
                <w:szCs w:val="20"/>
              </w:rPr>
              <w:t>Brak możliwości warunkowego zaliczenie pierwszego semestru studiów</w:t>
            </w:r>
            <w:r w:rsidR="003F22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E1FD1" w:rsidRPr="006C51F7" w14:paraId="778D9245" w14:textId="77777777" w:rsidTr="00843ED1">
        <w:tc>
          <w:tcPr>
            <w:tcW w:w="1361" w:type="dxa"/>
          </w:tcPr>
          <w:p w14:paraId="1031BB97" w14:textId="77777777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ust. 1 lit. f</w:t>
            </w:r>
          </w:p>
        </w:tc>
        <w:tc>
          <w:tcPr>
            <w:tcW w:w="4730" w:type="dxa"/>
          </w:tcPr>
          <w:p w14:paraId="5EF63F82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Maksymalny wymiar godzin dydaktycznych i maksymalną liczbę egzaminów w ciągu roku akademickiego</w:t>
            </w:r>
          </w:p>
        </w:tc>
        <w:tc>
          <w:tcPr>
            <w:tcW w:w="7903" w:type="dxa"/>
          </w:tcPr>
          <w:p w14:paraId="6871F9EB" w14:textId="19048E2C" w:rsidR="005E1FD1" w:rsidRPr="005E1FD1" w:rsidRDefault="000729B7" w:rsidP="005E1FD1">
            <w:pP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 w:rsidRPr="009114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Zgodnie 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programem </w:t>
            </w:r>
            <w:r w:rsidRPr="0091141E">
              <w:rPr>
                <w:rFonts w:ascii="Times New Roman" w:eastAsia="Times New Roman" w:hAnsi="Times New Roman" w:cs="Times New Roman"/>
                <w:sz w:val="20"/>
                <w:szCs w:val="20"/>
              </w:rPr>
              <w:t>studiów.</w:t>
            </w:r>
          </w:p>
        </w:tc>
      </w:tr>
      <w:tr w:rsidR="005E1FD1" w:rsidRPr="006C51F7" w14:paraId="370C7715" w14:textId="77777777" w:rsidTr="00843ED1">
        <w:tc>
          <w:tcPr>
            <w:tcW w:w="1361" w:type="dxa"/>
          </w:tcPr>
          <w:p w14:paraId="0D316279" w14:textId="77777777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ust. 1 lit. g</w:t>
            </w:r>
          </w:p>
        </w:tc>
        <w:tc>
          <w:tcPr>
            <w:tcW w:w="4730" w:type="dxa"/>
          </w:tcPr>
          <w:p w14:paraId="3A9B63BF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Minimalna średnia ocen z dotychczasowego toku studiów, pozwalającą ubiegać się o indywidualny plan i program studiów (IPS)</w:t>
            </w:r>
          </w:p>
        </w:tc>
        <w:tc>
          <w:tcPr>
            <w:tcW w:w="7903" w:type="dxa"/>
          </w:tcPr>
          <w:p w14:paraId="764E5B2B" w14:textId="2C234EBF" w:rsidR="005E1FD1" w:rsidRPr="006C51F7" w:rsidRDefault="00D80470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Minimalna średnia ocen - 4,7</w:t>
            </w:r>
            <w:r w:rsidR="003F22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E1FD1" w:rsidRPr="006C51F7" w14:paraId="14E7FF19" w14:textId="77777777" w:rsidTr="00843ED1">
        <w:tc>
          <w:tcPr>
            <w:tcW w:w="1361" w:type="dxa"/>
          </w:tcPr>
          <w:p w14:paraId="74414135" w14:textId="77777777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ust. 1 lit. h</w:t>
            </w:r>
          </w:p>
        </w:tc>
        <w:tc>
          <w:tcPr>
            <w:tcW w:w="4730" w:type="dxa"/>
          </w:tcPr>
          <w:p w14:paraId="066F93A1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Warunki dopuszczalności oraz tryb rozstrzygania odwołania się studenta od decyzji o odmowie zaliczenia przedmiotu/zajęć składowych</w:t>
            </w:r>
          </w:p>
        </w:tc>
        <w:tc>
          <w:tcPr>
            <w:tcW w:w="7903" w:type="dxa"/>
          </w:tcPr>
          <w:p w14:paraId="03E575E2" w14:textId="697F1BEC" w:rsidR="005E1FD1" w:rsidRPr="006C51F7" w:rsidRDefault="00512C3D" w:rsidP="005E1FD1">
            <w:pPr>
              <w:ind w:right="4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C3D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9D7D89">
              <w:rPr>
                <w:rFonts w:ascii="Times New Roman" w:hAnsi="Times New Roman" w:cs="Times New Roman"/>
                <w:sz w:val="20"/>
                <w:szCs w:val="20"/>
              </w:rPr>
              <w:t xml:space="preserve">uzasadnionych przypadkach student ma prawo </w:t>
            </w:r>
            <w:r w:rsidRPr="00512C3D">
              <w:rPr>
                <w:rFonts w:ascii="Times New Roman" w:hAnsi="Times New Roman" w:cs="Times New Roman"/>
                <w:sz w:val="20"/>
                <w:szCs w:val="20"/>
              </w:rPr>
              <w:t xml:space="preserve">odwołania do </w:t>
            </w:r>
            <w:r w:rsidR="009D7D8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12C3D">
              <w:rPr>
                <w:rFonts w:ascii="Times New Roman" w:hAnsi="Times New Roman" w:cs="Times New Roman"/>
                <w:sz w:val="20"/>
                <w:szCs w:val="20"/>
              </w:rPr>
              <w:t xml:space="preserve">ziekana. Dziekan po zapoznaniu się z sytuacją, może zarządzić zaliczenie komisyjne </w:t>
            </w:r>
            <w:r w:rsidR="00B704C9">
              <w:rPr>
                <w:rFonts w:ascii="Times New Roman" w:hAnsi="Times New Roman" w:cs="Times New Roman"/>
                <w:sz w:val="20"/>
                <w:szCs w:val="20"/>
              </w:rPr>
              <w:t xml:space="preserve">przedmiotu lub </w:t>
            </w:r>
            <w:r w:rsidRPr="00512C3D">
              <w:rPr>
                <w:rFonts w:ascii="Times New Roman" w:hAnsi="Times New Roman" w:cs="Times New Roman"/>
                <w:sz w:val="20"/>
                <w:szCs w:val="20"/>
              </w:rPr>
              <w:t>części składowej przedmiotu, które odbywa się na takich samych zasadach, jak egzamin komisyjny.</w:t>
            </w:r>
          </w:p>
        </w:tc>
      </w:tr>
      <w:tr w:rsidR="005E1FD1" w:rsidRPr="006C51F7" w14:paraId="526A4996" w14:textId="77777777" w:rsidTr="00843ED1">
        <w:tc>
          <w:tcPr>
            <w:tcW w:w="1361" w:type="dxa"/>
          </w:tcPr>
          <w:p w14:paraId="23322B10" w14:textId="77777777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ust. 1 lit. i</w:t>
            </w:r>
          </w:p>
        </w:tc>
        <w:tc>
          <w:tcPr>
            <w:tcW w:w="4730" w:type="dxa"/>
          </w:tcPr>
          <w:p w14:paraId="56AADB81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Obowiązująca forma pracy dyplomowej, z zastrzeżeniem § 52 ust. 2</w:t>
            </w:r>
          </w:p>
        </w:tc>
        <w:tc>
          <w:tcPr>
            <w:tcW w:w="7903" w:type="dxa"/>
          </w:tcPr>
          <w:p w14:paraId="73B3C3C5" w14:textId="4D60694C" w:rsidR="005E1FD1" w:rsidRPr="006C51F7" w:rsidRDefault="00864686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686">
              <w:rPr>
                <w:rFonts w:ascii="Times New Roman" w:hAnsi="Times New Roman" w:cs="Times New Roman"/>
                <w:sz w:val="20"/>
                <w:szCs w:val="20"/>
              </w:rPr>
              <w:t xml:space="preserve">Obowiązującą formą pracy dyplomowej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686">
              <w:rPr>
                <w:rFonts w:ascii="Times New Roman" w:hAnsi="Times New Roman" w:cs="Times New Roman"/>
                <w:sz w:val="20"/>
                <w:szCs w:val="20"/>
              </w:rPr>
              <w:t>jest praca pisemna</w:t>
            </w:r>
            <w:r w:rsidRPr="00864686" w:rsidDel="00864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D05">
              <w:rPr>
                <w:rFonts w:ascii="Times New Roman" w:hAnsi="Times New Roman" w:cs="Times New Roman"/>
                <w:sz w:val="20"/>
                <w:szCs w:val="20"/>
              </w:rPr>
              <w:t xml:space="preserve">w formie monografii. </w:t>
            </w:r>
          </w:p>
        </w:tc>
      </w:tr>
      <w:tr w:rsidR="005E1FD1" w:rsidRPr="006C51F7" w14:paraId="0A124046" w14:textId="77777777" w:rsidTr="00843ED1">
        <w:tc>
          <w:tcPr>
            <w:tcW w:w="1361" w:type="dxa"/>
          </w:tcPr>
          <w:p w14:paraId="5295E46B" w14:textId="77777777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67505616"/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ust. 1 lit. j</w:t>
            </w:r>
          </w:p>
        </w:tc>
        <w:tc>
          <w:tcPr>
            <w:tcW w:w="4730" w:type="dxa"/>
          </w:tcPr>
          <w:p w14:paraId="5B68D069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Zakres wymagań egzaminacyjnych egzaminu dyplomowego</w:t>
            </w:r>
          </w:p>
        </w:tc>
        <w:tc>
          <w:tcPr>
            <w:tcW w:w="7903" w:type="dxa"/>
          </w:tcPr>
          <w:p w14:paraId="5F10296E" w14:textId="520C1D9F" w:rsidR="005E1FD1" w:rsidRPr="006C51F7" w:rsidRDefault="00907097" w:rsidP="00B418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097">
              <w:rPr>
                <w:rFonts w:ascii="Times New Roman" w:hAnsi="Times New Roman" w:cs="Times New Roman"/>
                <w:sz w:val="20"/>
                <w:szCs w:val="20"/>
              </w:rPr>
              <w:t xml:space="preserve">Zakres wymagań egzaminacyjnych określany jest odrębnie dla każdego kierunku studiów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uwzględnieniem specjalności </w:t>
            </w:r>
            <w:r w:rsidRPr="00907097">
              <w:rPr>
                <w:rFonts w:ascii="Times New Roman" w:hAnsi="Times New Roman" w:cs="Times New Roman"/>
                <w:sz w:val="20"/>
                <w:szCs w:val="20"/>
              </w:rPr>
              <w:t xml:space="preserve">w formie listy pytań,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zatwierdzanej przez Wydziałową Komisję ds. Dydaktyki, Wydziałową Komisję ds. Jakości Kształcenia oraz Radę </w:t>
            </w:r>
            <w:r w:rsidRPr="00907097">
              <w:rPr>
                <w:rFonts w:ascii="Times New Roman" w:hAnsi="Times New Roman" w:cs="Times New Roman"/>
                <w:sz w:val="20"/>
                <w:szCs w:val="20"/>
              </w:rPr>
              <w:t xml:space="preserve">Wydziału. </w:t>
            </w:r>
          </w:p>
        </w:tc>
      </w:tr>
      <w:tr w:rsidR="005E1FD1" w:rsidRPr="006C51F7" w14:paraId="0AE1F4BE" w14:textId="77777777" w:rsidTr="00843ED1">
        <w:tc>
          <w:tcPr>
            <w:tcW w:w="1361" w:type="dxa"/>
          </w:tcPr>
          <w:p w14:paraId="793872B3" w14:textId="77777777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ust. 1 lit. k</w:t>
            </w:r>
          </w:p>
        </w:tc>
        <w:tc>
          <w:tcPr>
            <w:tcW w:w="4730" w:type="dxa"/>
          </w:tcPr>
          <w:p w14:paraId="059542DA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Tryb przeprowadzania otwartych egzaminów dyplomowych</w:t>
            </w:r>
          </w:p>
        </w:tc>
        <w:tc>
          <w:tcPr>
            <w:tcW w:w="7903" w:type="dxa"/>
          </w:tcPr>
          <w:p w14:paraId="4A32688E" w14:textId="3E2DDA8F" w:rsidR="005E1FD1" w:rsidRPr="006C51F7" w:rsidRDefault="00A852F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2F1">
              <w:rPr>
                <w:rFonts w:ascii="Times New Roman" w:hAnsi="Times New Roman" w:cs="Times New Roman"/>
                <w:sz w:val="20"/>
                <w:szCs w:val="20"/>
              </w:rPr>
              <w:t xml:space="preserve">Zgodnie z § 58 pkt 6 Regulaminu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852F1">
              <w:rPr>
                <w:rFonts w:ascii="Times New Roman" w:hAnsi="Times New Roman" w:cs="Times New Roman"/>
                <w:sz w:val="20"/>
                <w:szCs w:val="20"/>
              </w:rPr>
              <w:t>tudiów.</w:t>
            </w:r>
          </w:p>
        </w:tc>
      </w:tr>
      <w:bookmarkEnd w:id="0"/>
      <w:tr w:rsidR="005E1FD1" w:rsidRPr="006C51F7" w14:paraId="6CADC47A" w14:textId="77777777" w:rsidTr="00843ED1">
        <w:tc>
          <w:tcPr>
            <w:tcW w:w="1361" w:type="dxa"/>
          </w:tcPr>
          <w:p w14:paraId="1976D8BE" w14:textId="77777777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ust. 2 lit. a</w:t>
            </w:r>
          </w:p>
        </w:tc>
        <w:tc>
          <w:tcPr>
            <w:tcW w:w="4730" w:type="dxa"/>
          </w:tcPr>
          <w:p w14:paraId="7F65C1F1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Maksymalna liczba przypadków powtarzania semestru/roku na kierunkach prowadzonych na wydziale</w:t>
            </w:r>
          </w:p>
        </w:tc>
        <w:tc>
          <w:tcPr>
            <w:tcW w:w="7903" w:type="dxa"/>
          </w:tcPr>
          <w:p w14:paraId="7DCE4158" w14:textId="43B03DA8" w:rsidR="005E1FD1" w:rsidRPr="006C51F7" w:rsidRDefault="00A4278B" w:rsidP="00843ED1">
            <w:pPr>
              <w:ind w:right="4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461CF" w:rsidRPr="009461CF">
              <w:rPr>
                <w:rFonts w:ascii="Times New Roman" w:hAnsi="Times New Roman" w:cs="Times New Roman"/>
                <w:sz w:val="20"/>
                <w:szCs w:val="20"/>
              </w:rPr>
              <w:t>ożliwość dwukrotnego powtarzania</w:t>
            </w:r>
            <w:r w:rsidR="009461CF">
              <w:rPr>
                <w:rFonts w:ascii="Times New Roman" w:hAnsi="Times New Roman" w:cs="Times New Roman"/>
                <w:sz w:val="20"/>
                <w:szCs w:val="20"/>
              </w:rPr>
              <w:t xml:space="preserve"> semestru</w:t>
            </w:r>
            <w:r w:rsidR="00D60D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E1FD1" w:rsidRPr="006C51F7" w14:paraId="0D88ADB0" w14:textId="77777777" w:rsidTr="00843ED1">
        <w:tc>
          <w:tcPr>
            <w:tcW w:w="1361" w:type="dxa"/>
          </w:tcPr>
          <w:p w14:paraId="615771BB" w14:textId="77777777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ust. 2 lit. b</w:t>
            </w:r>
          </w:p>
        </w:tc>
        <w:tc>
          <w:tcPr>
            <w:tcW w:w="4730" w:type="dxa"/>
          </w:tcPr>
          <w:p w14:paraId="72B3050C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Minimalna liczba punktów ECTS lub minimalna liczba przedmiotów pozwalających na warunkowe zaliczenie semestru/roku i wpisanie studenta na kolejny semestr/rok studiów,</w:t>
            </w:r>
          </w:p>
        </w:tc>
        <w:tc>
          <w:tcPr>
            <w:tcW w:w="7903" w:type="dxa"/>
          </w:tcPr>
          <w:p w14:paraId="7873CCE7" w14:textId="43DDBE80" w:rsidR="003D4C09" w:rsidRPr="006C51F7" w:rsidRDefault="00014836" w:rsidP="00B41854">
            <w:pPr>
              <w:ind w:left="-11" w:firstLin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836">
              <w:rPr>
                <w:rFonts w:ascii="Times New Roman" w:hAnsi="Times New Roman" w:cs="Times New Roman"/>
                <w:sz w:val="20"/>
                <w:szCs w:val="20"/>
              </w:rPr>
              <w:t>W przypadku drugiego i następnych semestrów studiów</w:t>
            </w:r>
            <w:r w:rsidR="004439DC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4439DC" w:rsidRPr="004439DC">
              <w:rPr>
                <w:rFonts w:ascii="Times New Roman" w:hAnsi="Times New Roman" w:cs="Times New Roman"/>
                <w:sz w:val="20"/>
                <w:szCs w:val="20"/>
              </w:rPr>
              <w:t>tudent może otrzymać warunkowe zaliczenie semestru w wypadku niezaliczenia maksymalnie dwóch przedmiotów</w:t>
            </w:r>
            <w:r w:rsidR="004439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730F">
              <w:rPr>
                <w:rFonts w:ascii="Times New Roman" w:hAnsi="Times New Roman" w:cs="Times New Roman"/>
                <w:sz w:val="20"/>
                <w:szCs w:val="20"/>
              </w:rPr>
              <w:t xml:space="preserve"> (Z wyłączeniem przedmiotów niepodlegających zaliczeniu warunkowemu).</w:t>
            </w:r>
            <w:r w:rsidRPr="00014836">
              <w:rPr>
                <w:rFonts w:ascii="Times New Roman" w:hAnsi="Times New Roman" w:cs="Times New Roman"/>
                <w:sz w:val="20"/>
                <w:szCs w:val="20"/>
              </w:rPr>
              <w:t xml:space="preserve"> Przy ustalaniu liczby przedmiotów pozwalających na warunkowe zaliczenie semestru jako niezaliczone uwzględnia się wszystkie przedmioty będące przyczyną warunkowego zaliczenia wcześniejszych semestrów, do momentu uzupełnienia przez studenta braków w terminie i na zasadach określonych przez Dzieka</w:t>
            </w:r>
            <w:r w:rsidR="00196AF5">
              <w:rPr>
                <w:rFonts w:ascii="Times New Roman" w:hAnsi="Times New Roman" w:cs="Times New Roman"/>
                <w:sz w:val="20"/>
                <w:szCs w:val="20"/>
              </w:rPr>
              <w:t>na.</w:t>
            </w:r>
            <w:r w:rsidR="004439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4C09" w:rsidRPr="003D4C09">
              <w:rPr>
                <w:rFonts w:ascii="Times New Roman" w:hAnsi="Times New Roman" w:cs="Times New Roman"/>
                <w:sz w:val="20"/>
                <w:szCs w:val="20"/>
              </w:rPr>
              <w:t>Wyznaczając termin i zasady uzupełnienia przez studenta braków będących przyczyną warunkowego zaliczenia semestru, Dziekan kieruje się planem studiów oraz kalendarzem akademickim</w:t>
            </w:r>
            <w:r w:rsidR="003D4C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E1FD1" w:rsidRPr="006C51F7" w14:paraId="223763F5" w14:textId="77777777" w:rsidTr="00843ED1">
        <w:tc>
          <w:tcPr>
            <w:tcW w:w="1361" w:type="dxa"/>
          </w:tcPr>
          <w:p w14:paraId="4F7BDE7A" w14:textId="77777777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ust. 2 lit. c</w:t>
            </w:r>
          </w:p>
        </w:tc>
        <w:tc>
          <w:tcPr>
            <w:tcW w:w="4730" w:type="dxa"/>
          </w:tcPr>
          <w:p w14:paraId="5E12C83C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Obowiązująca sekwencja przedmiotów</w:t>
            </w:r>
          </w:p>
        </w:tc>
        <w:tc>
          <w:tcPr>
            <w:tcW w:w="7903" w:type="dxa"/>
          </w:tcPr>
          <w:p w14:paraId="11987E71" w14:textId="683876A7" w:rsidR="005E1FD1" w:rsidRPr="006C51F7" w:rsidRDefault="009B51B4" w:rsidP="00843ED1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52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 z programem studiów.</w:t>
            </w:r>
          </w:p>
        </w:tc>
      </w:tr>
      <w:tr w:rsidR="005E1FD1" w:rsidRPr="006C51F7" w14:paraId="42ABA47B" w14:textId="77777777" w:rsidTr="00843ED1">
        <w:tc>
          <w:tcPr>
            <w:tcW w:w="1361" w:type="dxa"/>
          </w:tcPr>
          <w:p w14:paraId="42027C9B" w14:textId="77777777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5 </w:t>
            </w:r>
            <w:proofErr w:type="spellStart"/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ust</w:t>
            </w:r>
            <w:proofErr w:type="spellEnd"/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. 2 lit. d</w:t>
            </w:r>
          </w:p>
        </w:tc>
        <w:tc>
          <w:tcPr>
            <w:tcW w:w="4730" w:type="dxa"/>
          </w:tcPr>
          <w:p w14:paraId="74730E89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Przedmioty obowiązkowe, bez których zaliczenia student nie może być wpisany na kolejny semestr/rok studiów, niezależnie od liczby uzyskanych punktów</w:t>
            </w:r>
          </w:p>
        </w:tc>
        <w:tc>
          <w:tcPr>
            <w:tcW w:w="7903" w:type="dxa"/>
          </w:tcPr>
          <w:p w14:paraId="0CB5D7D6" w14:textId="11F734FE" w:rsidR="00AA2F14" w:rsidRPr="00B41854" w:rsidRDefault="00AA2F14" w:rsidP="00AA2F1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8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Przedmioty obowiązkowe, bez zaliczenia których student nie może być wpisany na kolejny semestr, niezależnie od liczby uzyskanych punktów:</w:t>
            </w:r>
          </w:p>
          <w:p w14:paraId="4D9BBD47" w14:textId="77777777" w:rsidR="008F5B20" w:rsidRPr="008F5B20" w:rsidRDefault="008F5B20" w:rsidP="008F5B2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1" w:author="Magdalena Zięba" w:date="2023-01-20T13:1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r w:rsidRPr="008F5B2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2" w:author="Magdalena Zięba" w:date="2023-01-20T13:1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  <w:t>– na kierunku stosunki międzynarodowe:</w:t>
            </w:r>
          </w:p>
          <w:p w14:paraId="6AB9280E" w14:textId="77777777" w:rsidR="008F5B20" w:rsidRPr="000E0370" w:rsidRDefault="008F5B20" w:rsidP="00532987">
            <w:pPr>
              <w:ind w:left="459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E037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studia pierwszego stopnia:</w:t>
            </w:r>
          </w:p>
          <w:p w14:paraId="5C428411" w14:textId="77777777" w:rsidR="008F5B20" w:rsidRPr="008F5B20" w:rsidRDefault="008F5B20" w:rsidP="00532987">
            <w:pPr>
              <w:ind w:left="45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Międzynarodowe stosunki polityczne,</w:t>
            </w:r>
          </w:p>
          <w:p w14:paraId="7ED157FD" w14:textId="77777777" w:rsidR="008F5B20" w:rsidRPr="008F5B20" w:rsidRDefault="008F5B20" w:rsidP="00532987">
            <w:pPr>
              <w:ind w:left="45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Metodologia badań stosunków międzynarodowych,</w:t>
            </w:r>
          </w:p>
          <w:p w14:paraId="4029809E" w14:textId="77777777" w:rsidR="008F5B20" w:rsidRPr="000E0370" w:rsidRDefault="008F5B20" w:rsidP="00532987">
            <w:pPr>
              <w:ind w:left="459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E037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studia drugiego stopnia,</w:t>
            </w:r>
          </w:p>
          <w:p w14:paraId="1338030B" w14:textId="77777777" w:rsidR="008F5B20" w:rsidRPr="008F5B20" w:rsidRDefault="008F5B20" w:rsidP="00532987">
            <w:pPr>
              <w:ind w:left="45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Instytucje międzynarodowe - normy, reżimy, organizacje,</w:t>
            </w:r>
          </w:p>
          <w:p w14:paraId="66D98812" w14:textId="77777777" w:rsidR="008F5B20" w:rsidRPr="008F5B20" w:rsidRDefault="008F5B20" w:rsidP="008F5B2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3" w:author="Magdalena Zięba" w:date="2023-01-20T13:1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r w:rsidRPr="008F5B2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4" w:author="Magdalena Zięba" w:date="2023-01-20T13:1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  <w:t xml:space="preserve">– na kierunku </w:t>
            </w:r>
            <w:proofErr w:type="spellStart"/>
            <w:r w:rsidRPr="008F5B2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5" w:author="Magdalena Zięba" w:date="2023-01-20T13:1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  <w:t>international</w:t>
            </w:r>
            <w:proofErr w:type="spellEnd"/>
            <w:r w:rsidRPr="008F5B2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6" w:author="Magdalena Zięba" w:date="2023-01-20T13:1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  <w:t xml:space="preserve"> and </w:t>
            </w:r>
            <w:proofErr w:type="spellStart"/>
            <w:r w:rsidRPr="008F5B2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7" w:author="Magdalena Zięba" w:date="2023-01-20T13:1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  <w:t>political</w:t>
            </w:r>
            <w:proofErr w:type="spellEnd"/>
            <w:r w:rsidRPr="008F5B2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8" w:author="Magdalena Zięba" w:date="2023-01-20T13:1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  <w:t xml:space="preserve"> </w:t>
            </w:r>
            <w:proofErr w:type="spellStart"/>
            <w:r w:rsidRPr="008F5B2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9" w:author="Magdalena Zięba" w:date="2023-01-20T13:1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  <w:t>studies</w:t>
            </w:r>
            <w:proofErr w:type="spellEnd"/>
            <w:r w:rsidRPr="008F5B2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10" w:author="Magdalena Zięba" w:date="2023-01-20T13:1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  <w:t>:</w:t>
            </w:r>
          </w:p>
          <w:p w14:paraId="42461AE4" w14:textId="77777777" w:rsidR="008F5B20" w:rsidRPr="000E0370" w:rsidRDefault="008F5B20" w:rsidP="00532987">
            <w:pPr>
              <w:ind w:left="459" w:hanging="33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E037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studia pierwszego stopnia:</w:t>
            </w:r>
          </w:p>
          <w:p w14:paraId="16827C71" w14:textId="77777777" w:rsidR="008F5B20" w:rsidRPr="008F5B20" w:rsidRDefault="008F5B20" w:rsidP="00532987">
            <w:pPr>
              <w:ind w:left="459" w:hanging="3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Ideologies</w:t>
            </w:r>
            <w:proofErr w:type="spellEnd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political</w:t>
            </w:r>
            <w:proofErr w:type="spellEnd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doctrines</w:t>
            </w:r>
            <w:proofErr w:type="spellEnd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decision-making</w:t>
            </w:r>
            <w:proofErr w:type="spellEnd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26ECA5D6" w14:textId="77777777" w:rsidR="008F5B20" w:rsidRPr="008F5B20" w:rsidRDefault="008F5B20" w:rsidP="00532987">
            <w:pPr>
              <w:ind w:left="459" w:hanging="3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International </w:t>
            </w:r>
            <w:proofErr w:type="spellStart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politics</w:t>
            </w:r>
            <w:proofErr w:type="spellEnd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5FA2D1B7" w14:textId="77777777" w:rsidR="008F5B20" w:rsidRPr="000E0370" w:rsidRDefault="008F5B20" w:rsidP="00532987">
            <w:pPr>
              <w:ind w:left="459" w:hanging="33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E037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studia drugiego stopnia:</w:t>
            </w:r>
          </w:p>
          <w:p w14:paraId="0454448F" w14:textId="77777777" w:rsidR="008F5B20" w:rsidRPr="008F5B20" w:rsidRDefault="008F5B20" w:rsidP="00532987">
            <w:pPr>
              <w:ind w:left="459" w:hanging="3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Geopolitics</w:t>
            </w:r>
            <w:proofErr w:type="spellEnd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Strategy</w:t>
            </w:r>
            <w:proofErr w:type="spellEnd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2FD6C4B8" w14:textId="77777777" w:rsidR="008F5B20" w:rsidRPr="008F5B20" w:rsidRDefault="008F5B20" w:rsidP="00532987">
            <w:pPr>
              <w:ind w:left="459" w:hanging="3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Comparative</w:t>
            </w:r>
            <w:proofErr w:type="spellEnd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politics</w:t>
            </w:r>
            <w:proofErr w:type="spellEnd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5D45851C" w14:textId="77777777" w:rsidR="008F5B20" w:rsidRPr="008F5B20" w:rsidRDefault="008F5B20" w:rsidP="008F5B2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11" w:author="Magdalena Zięba" w:date="2023-01-20T13:1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r w:rsidRPr="008F5B2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12" w:author="Magdalena Zięba" w:date="2023-01-20T13:1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  <w:t xml:space="preserve">– na kierunku </w:t>
            </w:r>
            <w:proofErr w:type="spellStart"/>
            <w:r w:rsidRPr="008F5B2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13" w:author="Magdalena Zięba" w:date="2023-01-20T13:1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  <w:t>international</w:t>
            </w:r>
            <w:proofErr w:type="spellEnd"/>
            <w:r w:rsidRPr="008F5B2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14" w:author="Magdalena Zięba" w:date="2023-01-20T13:1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  <w:t xml:space="preserve"> marketing</w:t>
            </w:r>
          </w:p>
          <w:p w14:paraId="4F105AD6" w14:textId="77777777" w:rsidR="008F5B20" w:rsidRPr="000E0370" w:rsidRDefault="008F5B20" w:rsidP="00532987">
            <w:pPr>
              <w:ind w:left="459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E037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studia pierwszego stopnia:</w:t>
            </w:r>
          </w:p>
          <w:p w14:paraId="4179B183" w14:textId="77777777" w:rsidR="008F5B20" w:rsidRPr="008F5B20" w:rsidRDefault="008F5B20" w:rsidP="00532987">
            <w:pPr>
              <w:ind w:left="45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Principles</w:t>
            </w:r>
            <w:proofErr w:type="spellEnd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International Marketing,</w:t>
            </w:r>
          </w:p>
          <w:p w14:paraId="749BCC66" w14:textId="77777777" w:rsidR="008F5B20" w:rsidRPr="008F5B20" w:rsidRDefault="008F5B20" w:rsidP="00532987">
            <w:pPr>
              <w:ind w:left="45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Introduction</w:t>
            </w:r>
            <w:proofErr w:type="spellEnd"/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 International Marketing Communications,</w:t>
            </w:r>
          </w:p>
          <w:p w14:paraId="17FD4EC8" w14:textId="77777777" w:rsidR="008F5B20" w:rsidRPr="008F5B20" w:rsidRDefault="008F5B20" w:rsidP="008F5B2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15" w:author="Magdalena Zięba" w:date="2023-01-20T13:1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r w:rsidRPr="008F5B2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16" w:author="Magdalena Zięba" w:date="2023-01-20T13:1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  <w:t>– na kierunku bezpieczeństwo narodowe</w:t>
            </w:r>
          </w:p>
          <w:p w14:paraId="2BCF40AB" w14:textId="77777777" w:rsidR="008F5B20" w:rsidRPr="000E0370" w:rsidRDefault="008F5B20" w:rsidP="00532987">
            <w:pPr>
              <w:ind w:left="459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E037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studia pierwszego stopnia:</w:t>
            </w:r>
          </w:p>
          <w:p w14:paraId="48F0A3C8" w14:textId="77777777" w:rsidR="008F5B20" w:rsidRPr="008F5B20" w:rsidRDefault="008F5B20" w:rsidP="00532987">
            <w:pPr>
              <w:ind w:left="45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Międzynarodowe stosunki polityczne,</w:t>
            </w:r>
          </w:p>
          <w:p w14:paraId="52C80A52" w14:textId="77777777" w:rsidR="008F5B20" w:rsidRPr="008F5B20" w:rsidRDefault="008F5B20" w:rsidP="00532987">
            <w:pPr>
              <w:ind w:left="45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Unia Europejska we współczesnych stosunkach międzynarodowych,</w:t>
            </w:r>
          </w:p>
          <w:p w14:paraId="5F40BD62" w14:textId="77777777" w:rsidR="008F5B20" w:rsidRPr="008F5B20" w:rsidRDefault="008F5B20" w:rsidP="00532987">
            <w:pPr>
              <w:ind w:left="45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Podstawy geopolityki,</w:t>
            </w:r>
          </w:p>
          <w:p w14:paraId="51AE5163" w14:textId="77777777" w:rsidR="008F5B20" w:rsidRPr="008F5B20" w:rsidRDefault="008F5B20" w:rsidP="008F5B2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17" w:author="Magdalena Zięba" w:date="2023-01-20T13:16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r w:rsidRPr="008F5B2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18" w:author="Magdalena Zięba" w:date="2023-01-20T13:16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  <w:t>– na kierunku politologia</w:t>
            </w:r>
          </w:p>
          <w:p w14:paraId="27751550" w14:textId="77777777" w:rsidR="008F5B20" w:rsidRPr="000E0370" w:rsidRDefault="008F5B20" w:rsidP="00532987">
            <w:pPr>
              <w:ind w:left="459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E037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studia pierwszego stopnia:</w:t>
            </w:r>
          </w:p>
          <w:p w14:paraId="51BF6971" w14:textId="77777777" w:rsidR="008F5B20" w:rsidRPr="008F5B20" w:rsidRDefault="008F5B20" w:rsidP="00532987">
            <w:pPr>
              <w:ind w:left="45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Systemy polityczne,</w:t>
            </w:r>
          </w:p>
          <w:p w14:paraId="373CE38D" w14:textId="77777777" w:rsidR="008F5B20" w:rsidRPr="008F5B20" w:rsidRDefault="008F5B20" w:rsidP="00532987">
            <w:pPr>
              <w:ind w:left="45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Partie polityczne i systemy partyjne,</w:t>
            </w:r>
          </w:p>
          <w:p w14:paraId="35F26759" w14:textId="77777777" w:rsidR="008F5B20" w:rsidRPr="008F5B20" w:rsidRDefault="008F5B20" w:rsidP="00532987">
            <w:pPr>
              <w:ind w:left="45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Powszechna myśl polityczna,</w:t>
            </w:r>
          </w:p>
          <w:p w14:paraId="2F7393FB" w14:textId="77777777" w:rsidR="008F5B20" w:rsidRPr="000E0370" w:rsidRDefault="008F5B20" w:rsidP="00532987">
            <w:pPr>
              <w:ind w:left="459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E037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studia drugiego stopnia:</w:t>
            </w:r>
          </w:p>
          <w:p w14:paraId="0000C513" w14:textId="77777777" w:rsidR="008F5B20" w:rsidRPr="008F5B20" w:rsidRDefault="008F5B20" w:rsidP="00532987">
            <w:pPr>
              <w:ind w:left="45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Wybory i zachowania polityczne,</w:t>
            </w:r>
          </w:p>
          <w:p w14:paraId="389528EB" w14:textId="77777777" w:rsidR="008F5B20" w:rsidRPr="008F5B20" w:rsidRDefault="008F5B20" w:rsidP="008F5B2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19" w:author="Magdalena Zięba" w:date="2023-01-20T13:16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r w:rsidRPr="008F5B2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20" w:author="Magdalena Zięba" w:date="2023-01-20T13:16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  <w:t>– na kierunku międzynarodowe studia kulturowe</w:t>
            </w:r>
          </w:p>
          <w:p w14:paraId="4D4F8FFF" w14:textId="77777777" w:rsidR="008F5B20" w:rsidRPr="000E0370" w:rsidRDefault="008F5B20" w:rsidP="00532987">
            <w:pPr>
              <w:ind w:left="45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E037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studia pierwszego stopnia:</w:t>
            </w:r>
          </w:p>
          <w:p w14:paraId="0053FBFD" w14:textId="77777777" w:rsidR="008F5B20" w:rsidRPr="008F5B20" w:rsidRDefault="008F5B20" w:rsidP="00532987">
            <w:pPr>
              <w:ind w:left="4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Międzynarodowe stosunki kulturalne,</w:t>
            </w:r>
          </w:p>
          <w:p w14:paraId="30F6BDED" w14:textId="77777777" w:rsidR="008F5B20" w:rsidRPr="008F5B20" w:rsidRDefault="008F5B20" w:rsidP="00532987">
            <w:pPr>
              <w:ind w:left="4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Literatura powszechna,</w:t>
            </w:r>
          </w:p>
          <w:p w14:paraId="04E0FC9A" w14:textId="77777777" w:rsidR="008F5B20" w:rsidRPr="008F5B20" w:rsidRDefault="008F5B20" w:rsidP="00532987">
            <w:pPr>
              <w:ind w:left="4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Współczesne kino światowe,</w:t>
            </w:r>
          </w:p>
          <w:p w14:paraId="46475718" w14:textId="77777777" w:rsidR="008F5B20" w:rsidRPr="000E0370" w:rsidRDefault="008F5B20" w:rsidP="00532987">
            <w:pPr>
              <w:ind w:left="45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E037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studia drugiego stopnia:</w:t>
            </w:r>
          </w:p>
          <w:p w14:paraId="39E50192" w14:textId="77777777" w:rsidR="008F5B20" w:rsidRPr="008F5B20" w:rsidRDefault="008F5B20" w:rsidP="00532987">
            <w:pPr>
              <w:ind w:left="4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Metodologia nauk o kulturze 2,</w:t>
            </w:r>
          </w:p>
          <w:p w14:paraId="217A0D51" w14:textId="77777777" w:rsidR="008F5B20" w:rsidRPr="008F5B20" w:rsidRDefault="008F5B20" w:rsidP="008F5B2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21" w:author="Magdalena Zięba" w:date="2023-01-20T13:16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r w:rsidRPr="008F5B2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PrChange w:id="22" w:author="Magdalena Zięba" w:date="2023-01-20T13:16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  <w:t>– na kierunku studia azjatyckie</w:t>
            </w:r>
          </w:p>
          <w:p w14:paraId="625D96A5" w14:textId="77777777" w:rsidR="008F5B20" w:rsidRPr="000E0370" w:rsidRDefault="008F5B20" w:rsidP="00532987">
            <w:pPr>
              <w:ind w:left="45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E037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studia pierwszego stopnia:</w:t>
            </w:r>
          </w:p>
          <w:p w14:paraId="3B6916F3" w14:textId="77777777" w:rsidR="008F5B20" w:rsidRPr="008F5B20" w:rsidRDefault="008F5B20" w:rsidP="00532987">
            <w:pPr>
              <w:ind w:left="4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Najnowsza historia Azji cz. 2,</w:t>
            </w:r>
          </w:p>
          <w:p w14:paraId="49A24E68" w14:textId="77777777" w:rsidR="008F5B20" w:rsidRPr="008F5B20" w:rsidRDefault="008F5B20" w:rsidP="00532987">
            <w:pPr>
              <w:ind w:left="4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Moduł zajęciowy: Azja Wschodnia – Polityka,</w:t>
            </w:r>
          </w:p>
          <w:p w14:paraId="72A6B55C" w14:textId="77777777" w:rsidR="008F5B20" w:rsidRPr="008F5B20" w:rsidRDefault="008F5B20" w:rsidP="00532987">
            <w:pPr>
              <w:ind w:left="4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Moduł zajęciowy Bliski Wschód i Afryka Północna – Polityka,</w:t>
            </w:r>
          </w:p>
          <w:p w14:paraId="7D01A1DD" w14:textId="00887280" w:rsidR="008F5B20" w:rsidRPr="0095261C" w:rsidRDefault="008F5B20" w:rsidP="00532987">
            <w:pPr>
              <w:ind w:left="4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Moduł zajęciowy Azja Południowa i Południowo-Wschodnia – Polityka</w:t>
            </w:r>
          </w:p>
        </w:tc>
      </w:tr>
      <w:tr w:rsidR="005E1FD1" w:rsidRPr="006C51F7" w14:paraId="0F3F2A85" w14:textId="77777777" w:rsidTr="00843ED1">
        <w:tc>
          <w:tcPr>
            <w:tcW w:w="1361" w:type="dxa"/>
          </w:tcPr>
          <w:p w14:paraId="7EF0E7DE" w14:textId="68E3ED20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5 ust. 2 lit. </w:t>
            </w:r>
            <w:r w:rsidR="00532E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</w:t>
            </w:r>
          </w:p>
        </w:tc>
        <w:tc>
          <w:tcPr>
            <w:tcW w:w="4730" w:type="dxa"/>
          </w:tcPr>
          <w:p w14:paraId="7AFC1CE4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Odrębne niż przewidziane w § 23 niniejszego Regulaminu zasady przenoszenia studentów ze studiów stacjonarnych na studia niestacjonarne lub odwrotnie, zasady obowiązujące na całym wydziale lub na poszczególnych kierunkach</w:t>
            </w:r>
          </w:p>
        </w:tc>
        <w:tc>
          <w:tcPr>
            <w:tcW w:w="7903" w:type="dxa"/>
          </w:tcPr>
          <w:p w14:paraId="34ED50BD" w14:textId="7FA072D7" w:rsidR="005E1FD1" w:rsidRPr="006C51F7" w:rsidRDefault="009B6EE7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brak</w:t>
            </w:r>
          </w:p>
        </w:tc>
      </w:tr>
      <w:tr w:rsidR="005E1FD1" w:rsidRPr="006C51F7" w14:paraId="2A763DF6" w14:textId="77777777" w:rsidTr="00843ED1">
        <w:tc>
          <w:tcPr>
            <w:tcW w:w="1361" w:type="dxa"/>
          </w:tcPr>
          <w:p w14:paraId="054EEB37" w14:textId="04525D21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5 ust. 2 lit. </w:t>
            </w:r>
            <w:r w:rsidR="00532E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</w:t>
            </w:r>
          </w:p>
        </w:tc>
        <w:tc>
          <w:tcPr>
            <w:tcW w:w="4730" w:type="dxa"/>
          </w:tcPr>
          <w:p w14:paraId="3FA2479D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Przelicznik punktów ECTS dla poszczególnych kierunków i specjalności w przypadku, gdy wymiana studentów z uczelniami zagranicznymi lub krajowymi  nie gwarantuje równoważności uzyskanych przez studentów osiągnięć</w:t>
            </w:r>
          </w:p>
        </w:tc>
        <w:tc>
          <w:tcPr>
            <w:tcW w:w="7903" w:type="dxa"/>
          </w:tcPr>
          <w:p w14:paraId="1D824AA4" w14:textId="14C1B300" w:rsidR="005E1FD1" w:rsidRPr="006C51F7" w:rsidRDefault="001630D1" w:rsidP="0095261C">
            <w:pPr>
              <w:ind w:right="4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630D1">
              <w:rPr>
                <w:rFonts w:ascii="Times New Roman" w:hAnsi="Times New Roman" w:cs="Times New Roman"/>
                <w:sz w:val="20"/>
                <w:szCs w:val="20"/>
              </w:rPr>
              <w:t>tuden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 realizujący semestr</w:t>
            </w:r>
            <w:r w:rsidR="00467186">
              <w:rPr>
                <w:rFonts w:ascii="Times New Roman" w:hAnsi="Times New Roman" w:cs="Times New Roman"/>
                <w:sz w:val="20"/>
                <w:szCs w:val="20"/>
              </w:rPr>
              <w:t>/rok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studiów w </w:t>
            </w:r>
            <w:r w:rsidRPr="001630D1">
              <w:rPr>
                <w:rFonts w:ascii="Times New Roman" w:hAnsi="Times New Roman" w:cs="Times New Roman"/>
                <w:sz w:val="20"/>
                <w:szCs w:val="20"/>
              </w:rPr>
              <w:t xml:space="preserve">uczelniach partnerskich w ramach programów </w:t>
            </w:r>
            <w:proofErr w:type="spellStart"/>
            <w:r w:rsidRPr="001630D1">
              <w:rPr>
                <w:rFonts w:ascii="Times New Roman" w:hAnsi="Times New Roman" w:cs="Times New Roman"/>
                <w:sz w:val="20"/>
                <w:szCs w:val="20"/>
              </w:rPr>
              <w:t>mobilnościowych</w:t>
            </w:r>
            <w:proofErr w:type="spellEnd"/>
            <w:r w:rsidRPr="001630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zobligowani są do uzyskania </w:t>
            </w:r>
            <w:r w:rsidR="00467186">
              <w:rPr>
                <w:rFonts w:ascii="Times New Roman" w:hAnsi="Times New Roman" w:cs="Times New Roman"/>
                <w:sz w:val="20"/>
                <w:szCs w:val="20"/>
              </w:rPr>
              <w:t>liczby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punktów ET</w:t>
            </w:r>
            <w:r w:rsidR="0046718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określonej w dokumencie Learning Agreement</w:t>
            </w:r>
            <w:r w:rsidR="00467186">
              <w:rPr>
                <w:rFonts w:ascii="Times New Roman" w:hAnsi="Times New Roman" w:cs="Times New Roman"/>
                <w:sz w:val="20"/>
                <w:szCs w:val="20"/>
              </w:rPr>
              <w:t xml:space="preserve"> oraz aneksie podpisywanych przed mobilnością</w:t>
            </w:r>
            <w:r w:rsidRPr="001630D1">
              <w:rPr>
                <w:rFonts w:ascii="Times New Roman" w:hAnsi="Times New Roman" w:cs="Times New Roman"/>
                <w:sz w:val="20"/>
                <w:szCs w:val="20"/>
              </w:rPr>
              <w:t xml:space="preserve">. W przypadku, gdy </w:t>
            </w:r>
            <w:r w:rsidR="00467186">
              <w:rPr>
                <w:rFonts w:ascii="Times New Roman" w:hAnsi="Times New Roman" w:cs="Times New Roman"/>
                <w:sz w:val="20"/>
                <w:szCs w:val="20"/>
              </w:rPr>
              <w:t>student nie uzyska wymaganej liczby punktów ECTS D</w:t>
            </w:r>
            <w:r w:rsidRPr="001630D1">
              <w:rPr>
                <w:rFonts w:ascii="Times New Roman" w:hAnsi="Times New Roman" w:cs="Times New Roman"/>
                <w:sz w:val="20"/>
                <w:szCs w:val="20"/>
              </w:rPr>
              <w:t xml:space="preserve">ziekan ma prawo do </w:t>
            </w:r>
            <w:r w:rsidR="00467186">
              <w:rPr>
                <w:rFonts w:ascii="Times New Roman" w:hAnsi="Times New Roman" w:cs="Times New Roman"/>
                <w:sz w:val="20"/>
                <w:szCs w:val="20"/>
              </w:rPr>
              <w:t xml:space="preserve">warunkowego </w:t>
            </w:r>
            <w:r w:rsidRPr="001630D1">
              <w:rPr>
                <w:rFonts w:ascii="Times New Roman" w:hAnsi="Times New Roman" w:cs="Times New Roman"/>
                <w:sz w:val="20"/>
                <w:szCs w:val="20"/>
              </w:rPr>
              <w:t>zaliczenia semestru</w:t>
            </w:r>
            <w:r w:rsidR="00467186">
              <w:rPr>
                <w:rFonts w:ascii="Times New Roman" w:hAnsi="Times New Roman" w:cs="Times New Roman"/>
                <w:sz w:val="20"/>
                <w:szCs w:val="20"/>
              </w:rPr>
              <w:t xml:space="preserve"> lub skierowania na powtarzanie. </w:t>
            </w:r>
            <w:r w:rsidRPr="001630D1">
              <w:rPr>
                <w:rFonts w:ascii="Times New Roman" w:hAnsi="Times New Roman" w:cs="Times New Roman"/>
                <w:sz w:val="20"/>
                <w:szCs w:val="20"/>
              </w:rPr>
              <w:t xml:space="preserve"> W kwestiach wątpliwych dotyczących zaliczenia semestru/roku, decyzję podejmuje Dziekan.</w:t>
            </w:r>
          </w:p>
        </w:tc>
      </w:tr>
      <w:tr w:rsidR="005E1FD1" w:rsidRPr="006C51F7" w14:paraId="075B2D28" w14:textId="77777777" w:rsidTr="00843ED1">
        <w:tc>
          <w:tcPr>
            <w:tcW w:w="1361" w:type="dxa"/>
          </w:tcPr>
          <w:p w14:paraId="1533CBAE" w14:textId="24AD24AA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5 ust. 2 lit. </w:t>
            </w:r>
            <w:r w:rsidR="00532E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4730" w:type="dxa"/>
          </w:tcPr>
          <w:p w14:paraId="7F19865C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Możliwość ubiegania się od pierwszego semestru na studiach drugiego stopnia o indywidualny plan i program studiów (IPS),</w:t>
            </w:r>
          </w:p>
        </w:tc>
        <w:tc>
          <w:tcPr>
            <w:tcW w:w="7903" w:type="dxa"/>
          </w:tcPr>
          <w:p w14:paraId="11446173" w14:textId="5A820AC9" w:rsidR="005E1FD1" w:rsidRPr="0095261C" w:rsidRDefault="009B6EE7" w:rsidP="005E1FD1">
            <w:pPr>
              <w:ind w:right="47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brak</w:t>
            </w:r>
          </w:p>
        </w:tc>
      </w:tr>
      <w:tr w:rsidR="005E1FD1" w:rsidRPr="006C51F7" w14:paraId="254EF8D1" w14:textId="77777777" w:rsidTr="00843ED1">
        <w:tc>
          <w:tcPr>
            <w:tcW w:w="1361" w:type="dxa"/>
          </w:tcPr>
          <w:p w14:paraId="4FE009BC" w14:textId="20A58FC3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5 ust. 2 lit. </w:t>
            </w:r>
            <w:r w:rsidR="00532E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</w:t>
            </w:r>
          </w:p>
        </w:tc>
        <w:tc>
          <w:tcPr>
            <w:tcW w:w="4730" w:type="dxa"/>
          </w:tcPr>
          <w:p w14:paraId="60E23F98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Inne niż przewidziane w § 38 ust. 7 i 8 zasady zaliczania przedmiotu na poczet dalszego toku studiów</w:t>
            </w:r>
          </w:p>
        </w:tc>
        <w:tc>
          <w:tcPr>
            <w:tcW w:w="7903" w:type="dxa"/>
          </w:tcPr>
          <w:p w14:paraId="066D2C73" w14:textId="07B9AB9D" w:rsidR="005E1FD1" w:rsidRPr="005E1FD1" w:rsidRDefault="009B6EE7" w:rsidP="005E1FD1">
            <w:pPr>
              <w:ind w:right="4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brak</w:t>
            </w:r>
          </w:p>
        </w:tc>
      </w:tr>
      <w:tr w:rsidR="005E1FD1" w:rsidRPr="006C51F7" w14:paraId="26C1CB8E" w14:textId="77777777" w:rsidTr="00843ED1">
        <w:tc>
          <w:tcPr>
            <w:tcW w:w="1361" w:type="dxa"/>
          </w:tcPr>
          <w:p w14:paraId="61AC36E0" w14:textId="40BAEEC9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5 ust. 2 lit. </w:t>
            </w:r>
            <w:r w:rsidR="00532E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4730" w:type="dxa"/>
          </w:tcPr>
          <w:p w14:paraId="26C21E1F" w14:textId="77777777" w:rsidR="005E1FD1" w:rsidRPr="006C51F7" w:rsidRDefault="005E1FD1" w:rsidP="0084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sz w:val="20"/>
                <w:szCs w:val="20"/>
              </w:rPr>
              <w:t>Inne niż przewidziane w § 38 ust. 9 niniejszego regulaminu zasady uzyskiwania zaliczeń i składania egzaminów</w:t>
            </w:r>
          </w:p>
        </w:tc>
        <w:tc>
          <w:tcPr>
            <w:tcW w:w="7903" w:type="dxa"/>
          </w:tcPr>
          <w:p w14:paraId="000A5093" w14:textId="5555A932" w:rsidR="005E1FD1" w:rsidRPr="006C51F7" w:rsidRDefault="009B6EE7" w:rsidP="005E1FD1">
            <w:pPr>
              <w:ind w:right="477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brak</w:t>
            </w:r>
          </w:p>
        </w:tc>
      </w:tr>
      <w:tr w:rsidR="005E1FD1" w:rsidRPr="006C51F7" w14:paraId="438251E3" w14:textId="77777777" w:rsidTr="00843ED1">
        <w:tc>
          <w:tcPr>
            <w:tcW w:w="1361" w:type="dxa"/>
          </w:tcPr>
          <w:p w14:paraId="73AACA3F" w14:textId="428A6EC8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5 ust. 2 lit. </w:t>
            </w:r>
            <w:r w:rsidR="00532E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</w:t>
            </w:r>
          </w:p>
        </w:tc>
        <w:tc>
          <w:tcPr>
            <w:tcW w:w="4730" w:type="dxa"/>
          </w:tcPr>
          <w:p w14:paraId="7A1DBB2F" w14:textId="77777777" w:rsidR="005E1FD1" w:rsidRPr="0095261C" w:rsidRDefault="005E1FD1" w:rsidP="00843E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2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Dodatkowe, poza wskazanymi w § 52, desygnaty lub przykłady pisemnych opracowań spełniających wymagania pracy dyplomowej</w:t>
            </w:r>
          </w:p>
        </w:tc>
        <w:tc>
          <w:tcPr>
            <w:tcW w:w="7903" w:type="dxa"/>
          </w:tcPr>
          <w:p w14:paraId="61A2F448" w14:textId="07EC83DA" w:rsidR="005E1FD1" w:rsidRPr="0095261C" w:rsidRDefault="009B6EE7" w:rsidP="005E1FD1">
            <w:pPr>
              <w:ind w:right="47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brak</w:t>
            </w:r>
          </w:p>
        </w:tc>
      </w:tr>
      <w:tr w:rsidR="005E1FD1" w:rsidRPr="006C51F7" w14:paraId="7AFA9B75" w14:textId="77777777" w:rsidTr="00843ED1">
        <w:tc>
          <w:tcPr>
            <w:tcW w:w="1361" w:type="dxa"/>
          </w:tcPr>
          <w:p w14:paraId="798C423C" w14:textId="58E30041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5 ust. 2 lit. </w:t>
            </w:r>
            <w:r w:rsidR="00532E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</w:t>
            </w:r>
          </w:p>
        </w:tc>
        <w:tc>
          <w:tcPr>
            <w:tcW w:w="4730" w:type="dxa"/>
          </w:tcPr>
          <w:p w14:paraId="14D5F0A9" w14:textId="77777777" w:rsidR="005E1FD1" w:rsidRPr="0095261C" w:rsidRDefault="005E1FD1" w:rsidP="00843E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2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Wydłużenie wskazanego w § 54 ust. 5 okresu przerwy w nauce uprawniający do zwolnienia studenta z wyrównania różnic w planie i programie studiów</w:t>
            </w:r>
          </w:p>
        </w:tc>
        <w:tc>
          <w:tcPr>
            <w:tcW w:w="7903" w:type="dxa"/>
          </w:tcPr>
          <w:p w14:paraId="6E7E366B" w14:textId="2A63AA14" w:rsidR="005E1FD1" w:rsidRPr="0095261C" w:rsidRDefault="009B6EE7" w:rsidP="005E1FD1">
            <w:pPr>
              <w:ind w:right="47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brak</w:t>
            </w:r>
          </w:p>
        </w:tc>
      </w:tr>
      <w:tr w:rsidR="005E1FD1" w:rsidRPr="006C51F7" w14:paraId="7EF63DC6" w14:textId="77777777" w:rsidTr="00843ED1">
        <w:tc>
          <w:tcPr>
            <w:tcW w:w="1361" w:type="dxa"/>
          </w:tcPr>
          <w:p w14:paraId="7B2AC99E" w14:textId="31FD2084" w:rsidR="005E1FD1" w:rsidRPr="006C51F7" w:rsidRDefault="005E1FD1" w:rsidP="00843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 </w:t>
            </w:r>
            <w:r w:rsidRPr="006C51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5 ust. 2 lit. </w:t>
            </w:r>
            <w:r w:rsidR="00532E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4730" w:type="dxa"/>
          </w:tcPr>
          <w:p w14:paraId="3385A4D1" w14:textId="77777777" w:rsidR="005E1FD1" w:rsidRPr="0095261C" w:rsidRDefault="005E1FD1" w:rsidP="00843E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2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Inna niż określona w § 56 ust. 6 niniejszego regulaminu forma egzaminu licencjackiego/inżynierskiego</w:t>
            </w:r>
          </w:p>
        </w:tc>
        <w:tc>
          <w:tcPr>
            <w:tcW w:w="7903" w:type="dxa"/>
          </w:tcPr>
          <w:p w14:paraId="2910A77D" w14:textId="04943EA5" w:rsidR="005E1FD1" w:rsidRPr="0095261C" w:rsidRDefault="009B6EE7" w:rsidP="005E1FD1">
            <w:pPr>
              <w:ind w:right="47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brak</w:t>
            </w:r>
          </w:p>
        </w:tc>
      </w:tr>
    </w:tbl>
    <w:p w14:paraId="77CF15ED" w14:textId="77777777" w:rsidR="005E1FD1" w:rsidRPr="006C51F7" w:rsidRDefault="005E1FD1" w:rsidP="005E1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56F520" w14:textId="0677449F" w:rsidR="00595967" w:rsidRDefault="00595967" w:rsidP="007A740C">
      <w:pPr>
        <w:jc w:val="both"/>
      </w:pPr>
    </w:p>
    <w:sectPr w:rsidR="00595967" w:rsidSect="00810C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50D7E6"/>
    <w:multiLevelType w:val="hybridMultilevel"/>
    <w:tmpl w:val="16B554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9BB69A"/>
    <w:multiLevelType w:val="hybridMultilevel"/>
    <w:tmpl w:val="145836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A4C827"/>
    <w:multiLevelType w:val="hybridMultilevel"/>
    <w:tmpl w:val="12901C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F48EBD"/>
    <w:multiLevelType w:val="hybridMultilevel"/>
    <w:tmpl w:val="05589A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913734"/>
    <w:multiLevelType w:val="hybridMultilevel"/>
    <w:tmpl w:val="A996DD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CE3E41"/>
    <w:multiLevelType w:val="hybridMultilevel"/>
    <w:tmpl w:val="EC3C7760"/>
    <w:lvl w:ilvl="0" w:tplc="4B6CF058">
      <w:start w:val="1"/>
      <w:numFmt w:val="decimal"/>
      <w:lvlText w:val="%1."/>
      <w:lvlJc w:val="left"/>
      <w:pPr>
        <w:ind w:left="945" w:firstLine="0"/>
      </w:pPr>
      <w:rPr>
        <w:rFonts w:ascii="Times New Roman" w:hAnsi="Times New Roman" w:cs="Times New Roman" w:hint="default"/>
        <w:b w:val="0"/>
        <w:i w:val="0"/>
        <w:iCs/>
        <w:strike w:val="0"/>
        <w:dstrike w:val="0"/>
        <w:color w:val="7030A0"/>
        <w:sz w:val="20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854B"/>
    <w:multiLevelType w:val="hybridMultilevel"/>
    <w:tmpl w:val="4534AE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5EAE21"/>
    <w:multiLevelType w:val="hybridMultilevel"/>
    <w:tmpl w:val="294AF0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5C37679"/>
    <w:multiLevelType w:val="hybridMultilevel"/>
    <w:tmpl w:val="716D61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6850F60"/>
    <w:multiLevelType w:val="hybridMultilevel"/>
    <w:tmpl w:val="0D863AA2"/>
    <w:lvl w:ilvl="0" w:tplc="9B049694">
      <w:start w:val="8"/>
      <w:numFmt w:val="lowerLetter"/>
      <w:lvlText w:val="%1)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1908">
      <w:start w:val="1"/>
      <w:numFmt w:val="bullet"/>
      <w:lvlText w:val="-"/>
      <w:lvlJc w:val="left"/>
      <w:pPr>
        <w:ind w:left="706"/>
      </w:pPr>
      <w:rPr>
        <w:rFonts w:ascii="Courier New" w:hAnsi="Courier New" w:hint="default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267BE">
      <w:start w:val="1"/>
      <w:numFmt w:val="bullet"/>
      <w:lvlText w:val="▪"/>
      <w:lvlJc w:val="left"/>
      <w:pPr>
        <w:ind w:left="14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D60BD4">
      <w:start w:val="1"/>
      <w:numFmt w:val="bullet"/>
      <w:lvlText w:val="•"/>
      <w:lvlJc w:val="left"/>
      <w:pPr>
        <w:ind w:left="21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4A23C">
      <w:start w:val="1"/>
      <w:numFmt w:val="bullet"/>
      <w:lvlText w:val="o"/>
      <w:lvlJc w:val="left"/>
      <w:pPr>
        <w:ind w:left="28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AE4E4">
      <w:start w:val="1"/>
      <w:numFmt w:val="bullet"/>
      <w:lvlText w:val="▪"/>
      <w:lvlJc w:val="left"/>
      <w:pPr>
        <w:ind w:left="35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08C14C">
      <w:start w:val="1"/>
      <w:numFmt w:val="bullet"/>
      <w:lvlText w:val="•"/>
      <w:lvlJc w:val="left"/>
      <w:pPr>
        <w:ind w:left="43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88482">
      <w:start w:val="1"/>
      <w:numFmt w:val="bullet"/>
      <w:lvlText w:val="o"/>
      <w:lvlJc w:val="left"/>
      <w:pPr>
        <w:ind w:left="50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5843B0">
      <w:start w:val="1"/>
      <w:numFmt w:val="bullet"/>
      <w:lvlText w:val="▪"/>
      <w:lvlJc w:val="left"/>
      <w:pPr>
        <w:ind w:left="57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8FE15C"/>
    <w:multiLevelType w:val="hybridMultilevel"/>
    <w:tmpl w:val="A1203C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86D653D"/>
    <w:multiLevelType w:val="hybridMultilevel"/>
    <w:tmpl w:val="654A243E"/>
    <w:lvl w:ilvl="0" w:tplc="6F60487E">
      <w:start w:val="1"/>
      <w:numFmt w:val="decimal"/>
      <w:lvlText w:val="%1."/>
      <w:lvlJc w:val="left"/>
      <w:pPr>
        <w:ind w:left="240"/>
      </w:pPr>
      <w:rPr>
        <w:rFonts w:ascii="Times New Roman" w:hAnsi="Times New Roman" w:cs="Times New Roman" w:hint="default"/>
        <w:b w:val="0"/>
        <w:i w:val="0"/>
        <w:iCs/>
        <w:strike w:val="0"/>
        <w:dstrike w:val="0"/>
        <w:color w:val="7030A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2540A">
      <w:start w:val="1"/>
      <w:numFmt w:val="lowerLetter"/>
      <w:lvlText w:val="%2"/>
      <w:lvlJc w:val="left"/>
      <w:pPr>
        <w:ind w:left="1080"/>
      </w:pPr>
      <w:rPr>
        <w:rFonts w:ascii="Times New Roman" w:hAnsi="Times New Roman" w:cs="Times New Roman" w:hint="default"/>
        <w:b w:val="0"/>
        <w:i w:val="0"/>
        <w:iCs/>
        <w:strike w:val="0"/>
        <w:dstrike w:val="0"/>
        <w:color w:val="7030A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22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22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211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89A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A62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CC3B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ADF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FB5BD3"/>
    <w:multiLevelType w:val="hybridMultilevel"/>
    <w:tmpl w:val="A38ED2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423D514"/>
    <w:multiLevelType w:val="hybridMultilevel"/>
    <w:tmpl w:val="A54DCE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612AFBC"/>
    <w:multiLevelType w:val="hybridMultilevel"/>
    <w:tmpl w:val="E7E00B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6B4E7F5"/>
    <w:multiLevelType w:val="hybridMultilevel"/>
    <w:tmpl w:val="C49EEA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FCA29AB"/>
    <w:multiLevelType w:val="hybridMultilevel"/>
    <w:tmpl w:val="A2A686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07621D8"/>
    <w:multiLevelType w:val="hybridMultilevel"/>
    <w:tmpl w:val="30044F88"/>
    <w:lvl w:ilvl="0" w:tplc="55C0F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32211"/>
    <w:multiLevelType w:val="hybridMultilevel"/>
    <w:tmpl w:val="531F51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C841C9F"/>
    <w:multiLevelType w:val="hybridMultilevel"/>
    <w:tmpl w:val="7FB27114"/>
    <w:lvl w:ilvl="0" w:tplc="EAA41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8797D"/>
    <w:multiLevelType w:val="hybridMultilevel"/>
    <w:tmpl w:val="0694C872"/>
    <w:lvl w:ilvl="0" w:tplc="6F60487E">
      <w:start w:val="1"/>
      <w:numFmt w:val="decimal"/>
      <w:lvlText w:val="%1."/>
      <w:lvlJc w:val="left"/>
      <w:pPr>
        <w:ind w:left="240"/>
      </w:pPr>
      <w:rPr>
        <w:rFonts w:ascii="Times New Roman" w:hAnsi="Times New Roman" w:cs="Times New Roman" w:hint="default"/>
        <w:b w:val="0"/>
        <w:i w:val="0"/>
        <w:iCs/>
        <w:strike w:val="0"/>
        <w:dstrike w:val="0"/>
        <w:color w:val="7030A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D8EAA2">
      <w:start w:val="1"/>
      <w:numFmt w:val="lowerLetter"/>
      <w:lvlText w:val="%2)"/>
      <w:lvlJc w:val="left"/>
      <w:pPr>
        <w:ind w:left="1080"/>
      </w:pPr>
      <w:rPr>
        <w:rFonts w:ascii="Times New Roman" w:hAnsi="Times New Roman" w:hint="default"/>
        <w:b w:val="0"/>
        <w:i w:val="0"/>
        <w:iCs/>
        <w:strike w:val="0"/>
        <w:dstrike w:val="0"/>
        <w:color w:val="7030A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22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22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211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89A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A62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CC3B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ADF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9428086">
    <w:abstractNumId w:val="9"/>
  </w:num>
  <w:num w:numId="2" w16cid:durableId="1150486428">
    <w:abstractNumId w:val="17"/>
  </w:num>
  <w:num w:numId="3" w16cid:durableId="1017004117">
    <w:abstractNumId w:val="5"/>
  </w:num>
  <w:num w:numId="4" w16cid:durableId="1837961017">
    <w:abstractNumId w:val="11"/>
  </w:num>
  <w:num w:numId="5" w16cid:durableId="2096365817">
    <w:abstractNumId w:val="20"/>
  </w:num>
  <w:num w:numId="6" w16cid:durableId="1448699990">
    <w:abstractNumId w:val="19"/>
  </w:num>
  <w:num w:numId="7" w16cid:durableId="1464544436">
    <w:abstractNumId w:val="14"/>
  </w:num>
  <w:num w:numId="8" w16cid:durableId="1298099048">
    <w:abstractNumId w:val="16"/>
  </w:num>
  <w:num w:numId="9" w16cid:durableId="1117716700">
    <w:abstractNumId w:val="7"/>
  </w:num>
  <w:num w:numId="10" w16cid:durableId="745146295">
    <w:abstractNumId w:val="13"/>
  </w:num>
  <w:num w:numId="11" w16cid:durableId="1147404299">
    <w:abstractNumId w:val="10"/>
  </w:num>
  <w:num w:numId="12" w16cid:durableId="380135918">
    <w:abstractNumId w:val="1"/>
  </w:num>
  <w:num w:numId="13" w16cid:durableId="1822845870">
    <w:abstractNumId w:val="2"/>
  </w:num>
  <w:num w:numId="14" w16cid:durableId="385304058">
    <w:abstractNumId w:val="18"/>
  </w:num>
  <w:num w:numId="15" w16cid:durableId="442653180">
    <w:abstractNumId w:val="12"/>
  </w:num>
  <w:num w:numId="16" w16cid:durableId="752701524">
    <w:abstractNumId w:val="6"/>
  </w:num>
  <w:num w:numId="17" w16cid:durableId="202517911">
    <w:abstractNumId w:val="3"/>
  </w:num>
  <w:num w:numId="18" w16cid:durableId="2036273063">
    <w:abstractNumId w:val="8"/>
  </w:num>
  <w:num w:numId="19" w16cid:durableId="216363605">
    <w:abstractNumId w:val="0"/>
  </w:num>
  <w:num w:numId="20" w16cid:durableId="1521313429">
    <w:abstractNumId w:val="4"/>
  </w:num>
  <w:num w:numId="21" w16cid:durableId="35365811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gdalena Zięba">
    <w15:presenceInfo w15:providerId="AD" w15:userId="S::magdalena.zieba@adm.uni.lodz.pl::20ddc8aa-e64e-46c0-ab04-d784f1d954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D1"/>
    <w:rsid w:val="00000820"/>
    <w:rsid w:val="00014836"/>
    <w:rsid w:val="000166B7"/>
    <w:rsid w:val="00045EE0"/>
    <w:rsid w:val="000729B7"/>
    <w:rsid w:val="00074F42"/>
    <w:rsid w:val="00076505"/>
    <w:rsid w:val="0009189A"/>
    <w:rsid w:val="000C629D"/>
    <w:rsid w:val="000E0370"/>
    <w:rsid w:val="000E4E4A"/>
    <w:rsid w:val="00115321"/>
    <w:rsid w:val="001630D1"/>
    <w:rsid w:val="00196AF5"/>
    <w:rsid w:val="001A4FB7"/>
    <w:rsid w:val="001A5C08"/>
    <w:rsid w:val="001E2421"/>
    <w:rsid w:val="001F5D8A"/>
    <w:rsid w:val="00207C94"/>
    <w:rsid w:val="00216DB0"/>
    <w:rsid w:val="002541DF"/>
    <w:rsid w:val="00263F03"/>
    <w:rsid w:val="00267BA0"/>
    <w:rsid w:val="002D40ED"/>
    <w:rsid w:val="002D60DF"/>
    <w:rsid w:val="003526D8"/>
    <w:rsid w:val="0038458C"/>
    <w:rsid w:val="003963B9"/>
    <w:rsid w:val="003A11FA"/>
    <w:rsid w:val="003A2BE1"/>
    <w:rsid w:val="003D4C09"/>
    <w:rsid w:val="003D7B5D"/>
    <w:rsid w:val="003F2292"/>
    <w:rsid w:val="00424EB3"/>
    <w:rsid w:val="004439DC"/>
    <w:rsid w:val="00467186"/>
    <w:rsid w:val="00492B46"/>
    <w:rsid w:val="004942E4"/>
    <w:rsid w:val="00494A83"/>
    <w:rsid w:val="004F6DDD"/>
    <w:rsid w:val="00512C3D"/>
    <w:rsid w:val="00532987"/>
    <w:rsid w:val="00532EDB"/>
    <w:rsid w:val="00535EF6"/>
    <w:rsid w:val="00551C8D"/>
    <w:rsid w:val="005542FC"/>
    <w:rsid w:val="00562675"/>
    <w:rsid w:val="00575D5A"/>
    <w:rsid w:val="00581DCF"/>
    <w:rsid w:val="005846E6"/>
    <w:rsid w:val="00595967"/>
    <w:rsid w:val="005E1FD1"/>
    <w:rsid w:val="00634A87"/>
    <w:rsid w:val="00671F6E"/>
    <w:rsid w:val="006825F8"/>
    <w:rsid w:val="006A3230"/>
    <w:rsid w:val="006B5A3A"/>
    <w:rsid w:val="00712985"/>
    <w:rsid w:val="00770D8D"/>
    <w:rsid w:val="00771532"/>
    <w:rsid w:val="007A5BA1"/>
    <w:rsid w:val="007A6EAF"/>
    <w:rsid w:val="007A740C"/>
    <w:rsid w:val="007C4F27"/>
    <w:rsid w:val="00864686"/>
    <w:rsid w:val="0088377C"/>
    <w:rsid w:val="00884653"/>
    <w:rsid w:val="008D1F70"/>
    <w:rsid w:val="008F58BD"/>
    <w:rsid w:val="008F5B20"/>
    <w:rsid w:val="00907097"/>
    <w:rsid w:val="00910AFE"/>
    <w:rsid w:val="0091141E"/>
    <w:rsid w:val="00911A71"/>
    <w:rsid w:val="00931A83"/>
    <w:rsid w:val="009461CF"/>
    <w:rsid w:val="0095261C"/>
    <w:rsid w:val="009A730F"/>
    <w:rsid w:val="009B51B4"/>
    <w:rsid w:val="009B6EE7"/>
    <w:rsid w:val="009D602D"/>
    <w:rsid w:val="009D7D89"/>
    <w:rsid w:val="009E1BC7"/>
    <w:rsid w:val="00A14039"/>
    <w:rsid w:val="00A4278B"/>
    <w:rsid w:val="00A51224"/>
    <w:rsid w:val="00A77698"/>
    <w:rsid w:val="00A852F1"/>
    <w:rsid w:val="00AA2F14"/>
    <w:rsid w:val="00AC68D2"/>
    <w:rsid w:val="00B41854"/>
    <w:rsid w:val="00B41CF0"/>
    <w:rsid w:val="00B704C9"/>
    <w:rsid w:val="00B82118"/>
    <w:rsid w:val="00BD78ED"/>
    <w:rsid w:val="00C63F65"/>
    <w:rsid w:val="00C63F73"/>
    <w:rsid w:val="00C65D57"/>
    <w:rsid w:val="00CF0D05"/>
    <w:rsid w:val="00D60DDF"/>
    <w:rsid w:val="00D61295"/>
    <w:rsid w:val="00D76817"/>
    <w:rsid w:val="00D80470"/>
    <w:rsid w:val="00D8621D"/>
    <w:rsid w:val="00E03395"/>
    <w:rsid w:val="00E25380"/>
    <w:rsid w:val="00E354A3"/>
    <w:rsid w:val="00E439BB"/>
    <w:rsid w:val="00E85E19"/>
    <w:rsid w:val="00E90C01"/>
    <w:rsid w:val="00E9525E"/>
    <w:rsid w:val="00EA235B"/>
    <w:rsid w:val="00EF565D"/>
    <w:rsid w:val="00F13ED5"/>
    <w:rsid w:val="00F669BF"/>
    <w:rsid w:val="00FD2E82"/>
    <w:rsid w:val="00FE4383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9B85"/>
  <w15:chartTrackingRefBased/>
  <w15:docId w15:val="{D94D7E18-69BF-4EC8-A13F-1D25F735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F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1FD1"/>
    <w:pPr>
      <w:ind w:left="720"/>
      <w:contextualSpacing/>
    </w:pPr>
  </w:style>
  <w:style w:type="paragraph" w:customStyle="1" w:styleId="Default">
    <w:name w:val="Default"/>
    <w:rsid w:val="007A740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4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4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4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4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4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D8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45EE0"/>
    <w:pPr>
      <w:spacing w:after="0" w:line="240" w:lineRule="auto"/>
    </w:pPr>
  </w:style>
  <w:style w:type="paragraph" w:styleId="Poprawka">
    <w:name w:val="Revision"/>
    <w:hidden/>
    <w:uiPriority w:val="99"/>
    <w:semiHidden/>
    <w:rsid w:val="008F5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13D2-3086-46CA-80E6-F5F96183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Bednarek-Kokosza</dc:creator>
  <cp:keywords/>
  <dc:description/>
  <cp:lastModifiedBy>Magdalena Zięba</cp:lastModifiedBy>
  <cp:revision>18</cp:revision>
  <dcterms:created xsi:type="dcterms:W3CDTF">2021-04-19T07:01:00Z</dcterms:created>
  <dcterms:modified xsi:type="dcterms:W3CDTF">2023-04-27T10:15:00Z</dcterms:modified>
</cp:coreProperties>
</file>